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8C" w:rsidRPr="006F1DD0" w:rsidRDefault="00E42A8C" w:rsidP="00E42A8C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8C" w:rsidRDefault="00E42A8C" w:rsidP="00E42A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</w:t>
      </w:r>
      <w:bookmarkStart w:id="0" w:name="_GoBack"/>
      <w:bookmarkEnd w:id="0"/>
      <w:r>
        <w:rPr>
          <w:sz w:val="28"/>
          <w:szCs w:val="28"/>
          <w:lang w:val="uk-UA"/>
        </w:rPr>
        <w:t>СЬКОЇ РАЙДЕРЖАДМІНІСТРАЦІЇ</w:t>
      </w:r>
    </w:p>
    <w:p w:rsidR="00E42A8C" w:rsidRDefault="00E42A8C" w:rsidP="00E42A8C">
      <w:pPr>
        <w:jc w:val="center"/>
        <w:rPr>
          <w:b/>
          <w:sz w:val="28"/>
          <w:szCs w:val="28"/>
          <w:lang w:val="uk-UA"/>
        </w:rPr>
      </w:pPr>
    </w:p>
    <w:p w:rsidR="00D81EEF" w:rsidRPr="00D81EEF" w:rsidRDefault="00E42A8C" w:rsidP="00D81EEF">
      <w:pPr>
        <w:jc w:val="center"/>
        <w:rPr>
          <w:sz w:val="28"/>
          <w:szCs w:val="28"/>
          <w:lang w:val="uk-UA"/>
        </w:rPr>
      </w:pPr>
      <w:r w:rsidRPr="00D81EEF">
        <w:rPr>
          <w:sz w:val="28"/>
          <w:szCs w:val="28"/>
          <w:lang w:val="uk-UA"/>
        </w:rPr>
        <w:t>НАКАЗ</w:t>
      </w:r>
    </w:p>
    <w:p w:rsidR="00D81EEF" w:rsidRPr="00D81EEF" w:rsidRDefault="00D81EEF" w:rsidP="00D81EEF">
      <w:pPr>
        <w:rPr>
          <w:sz w:val="28"/>
          <w:szCs w:val="28"/>
          <w:lang w:val="uk-UA"/>
        </w:rPr>
      </w:pPr>
      <w:r w:rsidRPr="00D81EEF">
        <w:rPr>
          <w:sz w:val="28"/>
          <w:szCs w:val="28"/>
          <w:lang w:val="uk-UA"/>
        </w:rPr>
        <w:t>14.04.2017</w:t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</w:r>
      <w:r w:rsidRPr="00D81EEF">
        <w:rPr>
          <w:sz w:val="28"/>
          <w:szCs w:val="28"/>
          <w:lang w:val="uk-UA"/>
        </w:rPr>
        <w:tab/>
        <w:t>№66-аг</w:t>
      </w:r>
    </w:p>
    <w:p w:rsidR="00D81EEF" w:rsidRDefault="00D81EEF" w:rsidP="00D81EEF">
      <w:pPr>
        <w:rPr>
          <w:b/>
          <w:sz w:val="28"/>
          <w:szCs w:val="28"/>
          <w:lang w:val="uk-UA"/>
        </w:rPr>
      </w:pPr>
    </w:p>
    <w:p w:rsidR="00E42A8C" w:rsidRDefault="00E42A8C" w:rsidP="00D81EEF">
      <w:pPr>
        <w:rPr>
          <w:b/>
          <w:bCs/>
          <w:sz w:val="28"/>
          <w:szCs w:val="28"/>
          <w:lang w:val="uk-UA"/>
        </w:rPr>
      </w:pPr>
      <w:r w:rsidRPr="00952D9A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заборону збору коштів з</w:t>
      </w:r>
    </w:p>
    <w:p w:rsidR="00E42A8C" w:rsidRDefault="00E42A8C" w:rsidP="009F0AE9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батьків учнів загальноосвітніх та</w:t>
      </w:r>
    </w:p>
    <w:p w:rsidR="00E42A8C" w:rsidRPr="00952D9A" w:rsidRDefault="00E42A8C" w:rsidP="009F0AE9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дошкільних навчальних закладів району</w:t>
      </w:r>
    </w:p>
    <w:p w:rsidR="00FD0B32" w:rsidRDefault="00FD0B32" w:rsidP="009F0AE9">
      <w:pPr>
        <w:spacing w:line="276" w:lineRule="auto"/>
        <w:rPr>
          <w:sz w:val="28"/>
          <w:lang w:val="uk-UA"/>
        </w:rPr>
      </w:pPr>
    </w:p>
    <w:p w:rsidR="008F7742" w:rsidRPr="00D629E3" w:rsidRDefault="00E42A8C" w:rsidP="009F0AE9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ab/>
        <w:t>Відповідно до статей 53 та 61 Закону України «Про освіту», ст.. 38 Закону України «Про дошкільну освіту», Закону України «Про благодійну діяльність та благодійні організації», ч. 3 ст. 13 Закону України «</w:t>
      </w:r>
      <w:r w:rsidR="00E10461" w:rsidRPr="00D629E3">
        <w:rPr>
          <w:sz w:val="26"/>
          <w:szCs w:val="26"/>
          <w:lang w:val="uk-UA"/>
        </w:rPr>
        <w:t>Про доступ до публічної інформації</w:t>
      </w:r>
      <w:r w:rsidRPr="00D629E3">
        <w:rPr>
          <w:sz w:val="26"/>
          <w:szCs w:val="26"/>
          <w:lang w:val="uk-UA"/>
        </w:rPr>
        <w:t>»</w:t>
      </w:r>
      <w:r w:rsidR="00E10461" w:rsidRPr="00D629E3">
        <w:rPr>
          <w:sz w:val="26"/>
          <w:szCs w:val="26"/>
          <w:lang w:val="uk-UA"/>
        </w:rPr>
        <w:t>, Порядку отримання благодійних (добровільних) внесків і пожертв від юридичних та фізичних осіб бюджетними установами та закладами освіти, охорони здоров’я</w:t>
      </w:r>
      <w:r w:rsidR="008F7742" w:rsidRPr="00D629E3">
        <w:rPr>
          <w:sz w:val="26"/>
          <w:szCs w:val="26"/>
          <w:lang w:val="uk-UA"/>
        </w:rPr>
        <w:t>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 серпня 2000 року №1222(зі змінами), пункту 105 Положення про загальноосвітній навчальний заклад, затвердженого постановою Кабінету Міністрів України від 27.08.2010 року, листа Міністерства освіти і науки України від 05.09.2013 №1/9-608 «Щодо благодійних внесків», наказу департаменту освіти і науки Київської обласної державної адміністрації від 03.04.2017 №119 «Про заборону збору коштів з</w:t>
      </w:r>
    </w:p>
    <w:p w:rsidR="00E42A8C" w:rsidRPr="00D629E3" w:rsidRDefault="008F7742" w:rsidP="009F0AE9">
      <w:pPr>
        <w:tabs>
          <w:tab w:val="left" w:pos="567"/>
        </w:tabs>
        <w:spacing w:line="276" w:lineRule="auto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батьків учнів професійно-технічних, загальноосвітніх та дошкільних навчальних закладів області» та з метою запобігання збору коштів з батьків учнів і вихованців нав</w:t>
      </w:r>
      <w:r w:rsidR="00580D8C" w:rsidRPr="00D629E3">
        <w:rPr>
          <w:sz w:val="26"/>
          <w:szCs w:val="26"/>
          <w:lang w:val="uk-UA"/>
        </w:rPr>
        <w:t>чальних закладів району</w:t>
      </w:r>
    </w:p>
    <w:p w:rsidR="008F7742" w:rsidRDefault="008F7742" w:rsidP="009F0AE9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</w:p>
    <w:p w:rsidR="008F7742" w:rsidRDefault="008F7742" w:rsidP="009F0AE9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8F7742" w:rsidRDefault="008F7742" w:rsidP="009F0AE9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</w:p>
    <w:p w:rsidR="008D1149" w:rsidRPr="00D629E3" w:rsidRDefault="008D1149" w:rsidP="009F0AE9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Керівникам навчальних закладів:</w:t>
      </w:r>
    </w:p>
    <w:p w:rsidR="008F7742" w:rsidRPr="00D629E3" w:rsidRDefault="00BA3514" w:rsidP="009F0AE9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з</w:t>
      </w:r>
      <w:r w:rsidR="008F7742" w:rsidRPr="00D629E3">
        <w:rPr>
          <w:sz w:val="26"/>
          <w:szCs w:val="26"/>
          <w:lang w:val="uk-UA"/>
        </w:rPr>
        <w:t xml:space="preserve">аборонити збір коштів керівниками та педагогічними працівниками з батьків учнів (вихованців) загальноосвітніх та </w:t>
      </w:r>
      <w:r w:rsidR="003A419A" w:rsidRPr="00D629E3">
        <w:rPr>
          <w:sz w:val="26"/>
          <w:szCs w:val="26"/>
          <w:lang w:val="uk-UA"/>
        </w:rPr>
        <w:t xml:space="preserve">дошкільних навчальних закладів району на проведення ремонтів, утримання навчальних закладів, подарунки навчальним </w:t>
      </w:r>
      <w:r w:rsidR="005E430D" w:rsidRPr="00D629E3">
        <w:rPr>
          <w:sz w:val="26"/>
          <w:szCs w:val="26"/>
          <w:lang w:val="uk-UA"/>
        </w:rPr>
        <w:t>та педагогічним працівникам.</w:t>
      </w:r>
    </w:p>
    <w:p w:rsidR="005E430D" w:rsidRPr="00D629E3" w:rsidRDefault="00BA3514" w:rsidP="00406832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з</w:t>
      </w:r>
      <w:r w:rsidR="005E430D" w:rsidRPr="00D629E3">
        <w:rPr>
          <w:sz w:val="26"/>
          <w:szCs w:val="26"/>
          <w:lang w:val="uk-UA"/>
        </w:rPr>
        <w:t>аборонити втручання керівників навчальних закладів, педагогічних працівників у діяльність благодійних фондів та піклувальних рад.</w:t>
      </w:r>
    </w:p>
    <w:p w:rsidR="008D1149" w:rsidRPr="00D629E3" w:rsidRDefault="00BA3514" w:rsidP="00406832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з</w:t>
      </w:r>
      <w:r w:rsidR="008D1149" w:rsidRPr="00D629E3">
        <w:rPr>
          <w:sz w:val="26"/>
          <w:szCs w:val="26"/>
          <w:lang w:val="uk-UA"/>
        </w:rPr>
        <w:t>вітувати про надходження та використання благодійної та спонсорської допомоги не рідше двох разів на рік</w:t>
      </w:r>
    </w:p>
    <w:p w:rsidR="008D1149" w:rsidRPr="00D629E3" w:rsidRDefault="008D1149" w:rsidP="009F0AE9">
      <w:pPr>
        <w:pStyle w:val="a5"/>
        <w:tabs>
          <w:tab w:val="left" w:pos="567"/>
        </w:tabs>
        <w:spacing w:line="276" w:lineRule="auto"/>
        <w:ind w:left="56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постійно</w:t>
      </w:r>
    </w:p>
    <w:p w:rsidR="005E430D" w:rsidRPr="00D629E3" w:rsidRDefault="00BA3514" w:rsidP="00406832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lastRenderedPageBreak/>
        <w:t>з</w:t>
      </w:r>
      <w:r w:rsidR="008D1149" w:rsidRPr="00D629E3">
        <w:rPr>
          <w:sz w:val="26"/>
          <w:szCs w:val="26"/>
          <w:lang w:val="uk-UA"/>
        </w:rPr>
        <w:t>абезпечити розроблення та оприлюднення на сайтах чи інформаційних стендах навчальних закладів пам’яток щодо порядку отримання благодійних внесків навчальними закладам</w:t>
      </w:r>
      <w:r w:rsidRPr="00D629E3">
        <w:rPr>
          <w:sz w:val="26"/>
          <w:szCs w:val="26"/>
          <w:lang w:val="uk-UA"/>
        </w:rPr>
        <w:t>и в межах чинного законодавства</w:t>
      </w:r>
    </w:p>
    <w:p w:rsidR="00BA3514" w:rsidRPr="00D629E3" w:rsidRDefault="00BA3514" w:rsidP="00BA3514">
      <w:pPr>
        <w:pStyle w:val="a5"/>
        <w:tabs>
          <w:tab w:val="left" w:pos="567"/>
          <w:tab w:val="left" w:pos="1134"/>
        </w:tabs>
        <w:spacing w:line="276" w:lineRule="auto"/>
        <w:ind w:left="56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до 20.04.2017</w:t>
      </w:r>
    </w:p>
    <w:p w:rsidR="00580D8C" w:rsidRPr="00D629E3" w:rsidRDefault="00BA3514" w:rsidP="00406832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</w:t>
      </w:r>
      <w:r w:rsidR="00580D8C" w:rsidRPr="00D629E3">
        <w:rPr>
          <w:sz w:val="26"/>
          <w:szCs w:val="26"/>
          <w:lang w:val="uk-UA"/>
        </w:rPr>
        <w:t>ровести наради з педагогічними працівниками, на яких розглянути порядок отримання та використання благодійної та спонсорської допомоги</w:t>
      </w:r>
    </w:p>
    <w:p w:rsidR="00580D8C" w:rsidRPr="00D629E3" w:rsidRDefault="00580D8C" w:rsidP="009F0AE9">
      <w:pPr>
        <w:pStyle w:val="a5"/>
        <w:tabs>
          <w:tab w:val="left" w:pos="567"/>
        </w:tabs>
        <w:spacing w:line="276" w:lineRule="auto"/>
        <w:ind w:left="56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ab/>
      </w:r>
      <w:r w:rsidRPr="00D629E3">
        <w:rPr>
          <w:sz w:val="26"/>
          <w:szCs w:val="26"/>
          <w:lang w:val="uk-UA"/>
        </w:rPr>
        <w:tab/>
      </w:r>
      <w:r w:rsidRPr="00D629E3">
        <w:rPr>
          <w:sz w:val="26"/>
          <w:szCs w:val="26"/>
          <w:lang w:val="uk-UA"/>
        </w:rPr>
        <w:tab/>
      </w:r>
      <w:r w:rsidRPr="00D629E3">
        <w:rPr>
          <w:sz w:val="26"/>
          <w:szCs w:val="26"/>
          <w:lang w:val="uk-UA"/>
        </w:rPr>
        <w:tab/>
        <w:t>до 01.05.2017</w:t>
      </w:r>
    </w:p>
    <w:p w:rsidR="00580D8C" w:rsidRPr="00D629E3" w:rsidRDefault="00BA3514" w:rsidP="00406832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н</w:t>
      </w:r>
      <w:r w:rsidR="00580D8C" w:rsidRPr="00D629E3">
        <w:rPr>
          <w:sz w:val="26"/>
          <w:szCs w:val="26"/>
          <w:lang w:val="uk-UA"/>
        </w:rPr>
        <w:t>е допускати вимагання (ініціювання) збору коштів від батьків учнів, встановлення обов’язкових одноразових чи регулярних внесків від батьків учнів (вихованців), непередбачених статутом закладу, нормативно-правовими актами тощо</w:t>
      </w:r>
    </w:p>
    <w:p w:rsidR="00580D8C" w:rsidRPr="00D629E3" w:rsidRDefault="00580D8C" w:rsidP="009F0AE9">
      <w:pPr>
        <w:pStyle w:val="a5"/>
        <w:spacing w:line="276" w:lineRule="auto"/>
        <w:ind w:left="56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постійно</w:t>
      </w:r>
    </w:p>
    <w:p w:rsidR="00580D8C" w:rsidRPr="00D629E3" w:rsidRDefault="00BA3514" w:rsidP="00406832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</w:t>
      </w:r>
      <w:r w:rsidR="00580D8C" w:rsidRPr="00D629E3">
        <w:rPr>
          <w:sz w:val="26"/>
          <w:szCs w:val="26"/>
          <w:lang w:val="uk-UA"/>
        </w:rPr>
        <w:t xml:space="preserve">риймати і використовувати благодійні внески та спонсорську допомогу виключно на добровільних засадах відповідно до Закону України «Про благодійну діяльність та благодійні організації» та Порядку отримання благодійних (добровільних) внесків і пожертв від юридичних та фізичних осіб бюджетними установами та закладами освіти, охорони здоров’я, </w:t>
      </w:r>
      <w:r w:rsidR="009F0AE9" w:rsidRPr="00D629E3">
        <w:rPr>
          <w:sz w:val="26"/>
          <w:szCs w:val="26"/>
          <w:lang w:val="uk-UA"/>
        </w:rPr>
        <w:t>соціального захисту, культури, науки, спорту та фізичного виховання для потреб їх фінансування</w:t>
      </w:r>
    </w:p>
    <w:p w:rsidR="009F0AE9" w:rsidRPr="00D629E3" w:rsidRDefault="009F0AE9" w:rsidP="009F0AE9">
      <w:pPr>
        <w:pStyle w:val="a5"/>
        <w:spacing w:line="276" w:lineRule="auto"/>
        <w:ind w:left="128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постійно</w:t>
      </w:r>
    </w:p>
    <w:p w:rsidR="009F0AE9" w:rsidRPr="00D629E3" w:rsidRDefault="00BA3514" w:rsidP="00406832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</w:t>
      </w:r>
      <w:r w:rsidR="009F0AE9" w:rsidRPr="00D629E3">
        <w:rPr>
          <w:sz w:val="26"/>
          <w:szCs w:val="26"/>
          <w:lang w:val="uk-UA"/>
        </w:rPr>
        <w:t>роводити звітування про надходження та використання благодійних і спонсорських коштів перед педагогічним та батьківським колективами, громадськістю, відповідно до Примірного положення про порядок звітування керівників дошкільних, загальноосвітніх, професійно-технічних навчальних закладів перед педагогічним колективом, громадськістю, затвердженого наказом Міністерства освіти і науки України від 23.03.2005 №178</w:t>
      </w:r>
    </w:p>
    <w:p w:rsidR="009F0AE9" w:rsidRPr="00D629E3" w:rsidRDefault="009F0AE9" w:rsidP="009F0AE9">
      <w:pPr>
        <w:pStyle w:val="a5"/>
        <w:spacing w:line="276" w:lineRule="auto"/>
        <w:ind w:left="128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щороку</w:t>
      </w:r>
    </w:p>
    <w:p w:rsidR="009F0AE9" w:rsidRPr="00D629E3" w:rsidRDefault="00BA3514" w:rsidP="00406832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з</w:t>
      </w:r>
      <w:r w:rsidR="009F0AE9" w:rsidRPr="00D629E3">
        <w:rPr>
          <w:sz w:val="26"/>
          <w:szCs w:val="26"/>
          <w:lang w:val="uk-UA"/>
        </w:rPr>
        <w:t>абезпечувати оприлюднення інформації про надходження та використання бюджетних коштів на утримання та розвиток матеріально-технічної бази навчальних закладів відповідно до пункту 2 частини 1 та пункту 3 статті 13 Закону України «Про доступ до публічної інформації»</w:t>
      </w:r>
    </w:p>
    <w:p w:rsidR="009F0AE9" w:rsidRPr="00D629E3" w:rsidRDefault="009F0AE9" w:rsidP="009F0AE9">
      <w:pPr>
        <w:pStyle w:val="a5"/>
        <w:spacing w:line="276" w:lineRule="auto"/>
        <w:ind w:left="1287"/>
        <w:jc w:val="right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постійно</w:t>
      </w:r>
    </w:p>
    <w:p w:rsidR="00406832" w:rsidRPr="00D629E3" w:rsidRDefault="00406832" w:rsidP="00406832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D629E3">
        <w:rPr>
          <w:sz w:val="26"/>
          <w:szCs w:val="26"/>
          <w:lang w:val="uk-UA"/>
        </w:rPr>
        <w:t>Контроль за виконанням наказу залишаю за собою.</w:t>
      </w:r>
    </w:p>
    <w:p w:rsidR="00406832" w:rsidRDefault="00406832" w:rsidP="00406832">
      <w:pPr>
        <w:spacing w:line="276" w:lineRule="auto"/>
        <w:jc w:val="both"/>
        <w:rPr>
          <w:sz w:val="28"/>
          <w:lang w:val="uk-UA"/>
        </w:rPr>
      </w:pPr>
    </w:p>
    <w:p w:rsidR="00406832" w:rsidRDefault="00406832" w:rsidP="0040683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Поліщук</w:t>
      </w:r>
    </w:p>
    <w:p w:rsidR="00BA3514" w:rsidRDefault="00BA3514" w:rsidP="00406832">
      <w:pPr>
        <w:spacing w:line="276" w:lineRule="auto"/>
        <w:jc w:val="both"/>
        <w:rPr>
          <w:sz w:val="28"/>
          <w:lang w:val="uk-UA"/>
        </w:rPr>
      </w:pPr>
    </w:p>
    <w:p w:rsidR="00BA3514" w:rsidRPr="00BA3514" w:rsidRDefault="00BA3514" w:rsidP="00406832">
      <w:pPr>
        <w:spacing w:line="276" w:lineRule="auto"/>
        <w:jc w:val="both"/>
        <w:rPr>
          <w:lang w:val="uk-UA"/>
        </w:rPr>
      </w:pPr>
      <w:r w:rsidRPr="00BA3514">
        <w:rPr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BA3514" w:rsidRPr="00D629E3" w:rsidTr="00BA3514">
        <w:tc>
          <w:tcPr>
            <w:tcW w:w="4320" w:type="dxa"/>
            <w:hideMark/>
          </w:tcPr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К.А. Івченко</w:t>
            </w:r>
          </w:p>
        </w:tc>
        <w:tc>
          <w:tcPr>
            <w:tcW w:w="2934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       К.М. Миргородська</w:t>
            </w:r>
          </w:p>
        </w:tc>
      </w:tr>
      <w:tr w:rsidR="00BA3514" w:rsidRPr="00D629E3" w:rsidTr="00BA3514">
        <w:tc>
          <w:tcPr>
            <w:tcW w:w="4320" w:type="dxa"/>
            <w:hideMark/>
          </w:tcPr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В.М. </w:t>
            </w:r>
            <w:proofErr w:type="spellStart"/>
            <w:r w:rsidRPr="00D629E3">
              <w:rPr>
                <w:sz w:val="22"/>
                <w:lang w:val="uk-UA"/>
              </w:rPr>
              <w:t>Вербіцький</w:t>
            </w:r>
            <w:proofErr w:type="spellEnd"/>
          </w:p>
        </w:tc>
        <w:tc>
          <w:tcPr>
            <w:tcW w:w="2934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В.В. Злочевська</w:t>
            </w:r>
          </w:p>
        </w:tc>
        <w:tc>
          <w:tcPr>
            <w:tcW w:w="2759" w:type="dxa"/>
            <w:hideMark/>
          </w:tcPr>
          <w:p w:rsidR="00BA3514" w:rsidRPr="00D629E3" w:rsidRDefault="00BA3514" w:rsidP="00BA3514">
            <w:pPr>
              <w:ind w:left="738" w:hanging="292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Н.В. Ляшенко</w:t>
            </w:r>
          </w:p>
        </w:tc>
      </w:tr>
      <w:tr w:rsidR="00BA3514" w:rsidRPr="00D629E3" w:rsidTr="00BA3514">
        <w:tc>
          <w:tcPr>
            <w:tcW w:w="4320" w:type="dxa"/>
            <w:hideMark/>
          </w:tcPr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Л.Ф. </w:t>
            </w:r>
            <w:proofErr w:type="spellStart"/>
            <w:r w:rsidRPr="00D629E3">
              <w:rPr>
                <w:sz w:val="22"/>
                <w:lang w:val="uk-UA"/>
              </w:rPr>
              <w:t>Байбуз</w:t>
            </w:r>
            <w:proofErr w:type="spellEnd"/>
          </w:p>
        </w:tc>
        <w:tc>
          <w:tcPr>
            <w:tcW w:w="2934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Т.Т. Неборак</w:t>
            </w:r>
          </w:p>
        </w:tc>
        <w:tc>
          <w:tcPr>
            <w:tcW w:w="2759" w:type="dxa"/>
            <w:hideMark/>
          </w:tcPr>
          <w:p w:rsidR="00BA3514" w:rsidRPr="00D629E3" w:rsidRDefault="00BA3514" w:rsidP="00BA3514">
            <w:pPr>
              <w:ind w:left="738" w:hanging="292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О.О. </w:t>
            </w:r>
            <w:proofErr w:type="spellStart"/>
            <w:r w:rsidRPr="00D629E3">
              <w:rPr>
                <w:sz w:val="22"/>
                <w:lang w:val="uk-UA"/>
              </w:rPr>
              <w:t>Моха</w:t>
            </w:r>
            <w:proofErr w:type="spellEnd"/>
          </w:p>
        </w:tc>
      </w:tr>
      <w:tr w:rsidR="00BA3514" w:rsidRPr="00D629E3" w:rsidTr="00BA3514">
        <w:tc>
          <w:tcPr>
            <w:tcW w:w="4320" w:type="dxa"/>
            <w:hideMark/>
          </w:tcPr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М.І. </w:t>
            </w:r>
            <w:proofErr w:type="spellStart"/>
            <w:r w:rsidRPr="00D629E3">
              <w:rPr>
                <w:sz w:val="22"/>
                <w:lang w:val="uk-UA"/>
              </w:rPr>
              <w:t>Чмир</w:t>
            </w:r>
            <w:proofErr w:type="spellEnd"/>
          </w:p>
        </w:tc>
        <w:tc>
          <w:tcPr>
            <w:tcW w:w="2934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О.В. Химорода</w:t>
            </w:r>
          </w:p>
        </w:tc>
        <w:tc>
          <w:tcPr>
            <w:tcW w:w="2759" w:type="dxa"/>
            <w:hideMark/>
          </w:tcPr>
          <w:p w:rsidR="00BA3514" w:rsidRPr="00D629E3" w:rsidRDefault="00BA3514" w:rsidP="00BA3514">
            <w:pPr>
              <w:ind w:left="738" w:hanging="292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С.М.</w:t>
            </w:r>
            <w:proofErr w:type="spellStart"/>
            <w:r w:rsidRPr="00D629E3">
              <w:rPr>
                <w:sz w:val="22"/>
                <w:lang w:val="uk-UA"/>
              </w:rPr>
              <w:t>Ткалич</w:t>
            </w:r>
            <w:proofErr w:type="spellEnd"/>
          </w:p>
        </w:tc>
      </w:tr>
      <w:tr w:rsidR="00BA3514" w:rsidRPr="00D629E3" w:rsidTr="00BA3514">
        <w:tc>
          <w:tcPr>
            <w:tcW w:w="4320" w:type="dxa"/>
            <w:hideMark/>
          </w:tcPr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М.І. </w:t>
            </w:r>
            <w:proofErr w:type="spellStart"/>
            <w:r w:rsidRPr="00D629E3">
              <w:rPr>
                <w:sz w:val="22"/>
                <w:lang w:val="uk-UA"/>
              </w:rPr>
              <w:t>Байбарза</w:t>
            </w:r>
            <w:proofErr w:type="spellEnd"/>
          </w:p>
        </w:tc>
        <w:tc>
          <w:tcPr>
            <w:tcW w:w="2934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В.А. Кушнір</w:t>
            </w:r>
          </w:p>
        </w:tc>
        <w:tc>
          <w:tcPr>
            <w:tcW w:w="2759" w:type="dxa"/>
            <w:hideMark/>
          </w:tcPr>
          <w:p w:rsidR="00BA3514" w:rsidRPr="00D629E3" w:rsidRDefault="00BA3514" w:rsidP="00BA3514">
            <w:pPr>
              <w:ind w:left="738" w:hanging="292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Л.І. </w:t>
            </w:r>
            <w:proofErr w:type="spellStart"/>
            <w:r w:rsidRPr="00D629E3">
              <w:rPr>
                <w:sz w:val="22"/>
                <w:lang w:val="uk-UA"/>
              </w:rPr>
              <w:t>Дорогань</w:t>
            </w:r>
            <w:proofErr w:type="spellEnd"/>
          </w:p>
        </w:tc>
      </w:tr>
      <w:tr w:rsidR="00BA3514" w:rsidRPr="00D629E3" w:rsidTr="00BA3514">
        <w:tc>
          <w:tcPr>
            <w:tcW w:w="4320" w:type="dxa"/>
            <w:hideMark/>
          </w:tcPr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Л.М. Глазко</w:t>
            </w:r>
          </w:p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М.О.Давиденко</w:t>
            </w:r>
          </w:p>
          <w:p w:rsidR="00BA3514" w:rsidRPr="00D629E3" w:rsidRDefault="00BA3514" w:rsidP="00BA3514">
            <w:pPr>
              <w:ind w:left="1463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Н.Л. Луценко</w:t>
            </w:r>
          </w:p>
        </w:tc>
        <w:tc>
          <w:tcPr>
            <w:tcW w:w="2934" w:type="dxa"/>
            <w:hideMark/>
          </w:tcPr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Т.Г. Царенко</w:t>
            </w:r>
          </w:p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С.П.</w:t>
            </w:r>
            <w:proofErr w:type="spellStart"/>
            <w:r w:rsidRPr="00D629E3">
              <w:rPr>
                <w:sz w:val="22"/>
                <w:lang w:val="uk-UA"/>
              </w:rPr>
              <w:t>Нуртаєва</w:t>
            </w:r>
            <w:proofErr w:type="spellEnd"/>
          </w:p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Г.М.Артеменко</w:t>
            </w:r>
          </w:p>
          <w:p w:rsidR="00BA3514" w:rsidRPr="00D629E3" w:rsidRDefault="00BA3514" w:rsidP="00BA3514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В.В. </w:t>
            </w:r>
            <w:proofErr w:type="spellStart"/>
            <w:r w:rsidRPr="00D629E3">
              <w:rPr>
                <w:sz w:val="22"/>
                <w:lang w:val="uk-UA"/>
              </w:rPr>
              <w:t>Восьмірко</w:t>
            </w:r>
            <w:proofErr w:type="spellEnd"/>
          </w:p>
        </w:tc>
        <w:tc>
          <w:tcPr>
            <w:tcW w:w="2759" w:type="dxa"/>
          </w:tcPr>
          <w:p w:rsidR="00BA3514" w:rsidRPr="00D629E3" w:rsidRDefault="00BA3514" w:rsidP="00BA3514">
            <w:pPr>
              <w:ind w:left="-162" w:firstLine="608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>І.М. Поліщук</w:t>
            </w:r>
          </w:p>
          <w:p w:rsidR="00BA3514" w:rsidRPr="00D629E3" w:rsidRDefault="00BA3514" w:rsidP="00BA3514">
            <w:pPr>
              <w:tabs>
                <w:tab w:val="left" w:pos="304"/>
              </w:tabs>
              <w:ind w:left="-162" w:firstLine="324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    М.М.Сімак</w:t>
            </w:r>
          </w:p>
          <w:p w:rsidR="00BA3514" w:rsidRPr="00D629E3" w:rsidRDefault="00BA3514" w:rsidP="00BA3514">
            <w:pPr>
              <w:ind w:left="-162" w:firstLine="324"/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    Л.А.</w:t>
            </w:r>
            <w:proofErr w:type="spellStart"/>
            <w:r w:rsidRPr="00D629E3">
              <w:rPr>
                <w:sz w:val="22"/>
                <w:lang w:val="uk-UA"/>
              </w:rPr>
              <w:t>Пушенко</w:t>
            </w:r>
            <w:proofErr w:type="spellEnd"/>
          </w:p>
          <w:p w:rsidR="00BA3514" w:rsidRPr="00D629E3" w:rsidRDefault="00BA3514" w:rsidP="00D629E3">
            <w:pPr>
              <w:rPr>
                <w:sz w:val="22"/>
                <w:lang w:val="uk-UA"/>
              </w:rPr>
            </w:pPr>
            <w:r w:rsidRPr="00D629E3">
              <w:rPr>
                <w:sz w:val="22"/>
                <w:lang w:val="uk-UA"/>
              </w:rPr>
              <w:t xml:space="preserve">       Т.В.</w:t>
            </w:r>
            <w:proofErr w:type="spellStart"/>
            <w:r w:rsidRPr="00D629E3">
              <w:rPr>
                <w:sz w:val="22"/>
                <w:lang w:val="uk-UA"/>
              </w:rPr>
              <w:t>Жамська</w:t>
            </w:r>
            <w:proofErr w:type="spellEnd"/>
          </w:p>
        </w:tc>
      </w:tr>
    </w:tbl>
    <w:p w:rsidR="00BA3514" w:rsidRPr="00406832" w:rsidRDefault="00BA3514" w:rsidP="00D629E3">
      <w:pPr>
        <w:spacing w:line="276" w:lineRule="auto"/>
        <w:jc w:val="both"/>
        <w:rPr>
          <w:sz w:val="28"/>
          <w:lang w:val="uk-UA"/>
        </w:rPr>
      </w:pPr>
    </w:p>
    <w:sectPr w:rsidR="00BA3514" w:rsidRPr="00406832" w:rsidSect="00BA3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D67"/>
    <w:multiLevelType w:val="multilevel"/>
    <w:tmpl w:val="8EDC35D4"/>
    <w:lvl w:ilvl="0">
      <w:start w:val="24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">
    <w:nsid w:val="45C72139"/>
    <w:multiLevelType w:val="multilevel"/>
    <w:tmpl w:val="99420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09D659F"/>
    <w:multiLevelType w:val="multilevel"/>
    <w:tmpl w:val="AA6EB968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CC1C19"/>
    <w:multiLevelType w:val="multilevel"/>
    <w:tmpl w:val="4D7291F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9"/>
    <w:rsid w:val="00141239"/>
    <w:rsid w:val="003968A6"/>
    <w:rsid w:val="003A419A"/>
    <w:rsid w:val="00406832"/>
    <w:rsid w:val="00580D8C"/>
    <w:rsid w:val="005E430D"/>
    <w:rsid w:val="0086049D"/>
    <w:rsid w:val="008D1149"/>
    <w:rsid w:val="008F7742"/>
    <w:rsid w:val="009F0AE9"/>
    <w:rsid w:val="00BA3514"/>
    <w:rsid w:val="00D629E3"/>
    <w:rsid w:val="00D81EEF"/>
    <w:rsid w:val="00E10461"/>
    <w:rsid w:val="00E42A8C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F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F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V.O-Stars</dc:creator>
  <cp:keywords/>
  <dc:description/>
  <cp:lastModifiedBy>V.O-Stars</cp:lastModifiedBy>
  <cp:revision>9</cp:revision>
  <cp:lastPrinted>2017-04-19T10:47:00Z</cp:lastPrinted>
  <dcterms:created xsi:type="dcterms:W3CDTF">2017-04-18T07:05:00Z</dcterms:created>
  <dcterms:modified xsi:type="dcterms:W3CDTF">2017-04-19T10:50:00Z</dcterms:modified>
</cp:coreProperties>
</file>